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8633D4" w14:paraId="594DC98B" w14:textId="77777777" w:rsidTr="008633D4">
        <w:trPr>
          <w:trHeight w:val="497"/>
        </w:trPr>
        <w:tc>
          <w:tcPr>
            <w:tcW w:w="2263" w:type="dxa"/>
          </w:tcPr>
          <w:p w14:paraId="66B59375" w14:textId="17C7D553" w:rsidR="008633D4" w:rsidRPr="00CD50E1" w:rsidRDefault="008633D4" w:rsidP="00681CF1">
            <w:pPr>
              <w:spacing w:after="120" w:line="288" w:lineRule="auto"/>
              <w:rPr>
                <w:lang w:val="cs-CZ"/>
              </w:rPr>
            </w:pPr>
            <w:r>
              <w:rPr>
                <w:lang w:val="cs-CZ"/>
              </w:rPr>
              <w:t>Datum:</w:t>
            </w:r>
          </w:p>
        </w:tc>
        <w:tc>
          <w:tcPr>
            <w:tcW w:w="7087" w:type="dxa"/>
          </w:tcPr>
          <w:p w14:paraId="5EE6DA33" w14:textId="3BAABF5D" w:rsidR="008633D4" w:rsidRPr="00CD50E1" w:rsidRDefault="008633D4" w:rsidP="00681CF1">
            <w:pPr>
              <w:spacing w:after="120" w:line="288" w:lineRule="auto"/>
              <w:rPr>
                <w:lang w:val="cs-CZ"/>
              </w:rPr>
            </w:pPr>
            <w:r>
              <w:rPr>
                <w:lang w:val="cs-CZ"/>
              </w:rPr>
              <w:t>25. 10. 2024</w:t>
            </w:r>
          </w:p>
        </w:tc>
      </w:tr>
      <w:tr w:rsidR="0066513C" w14:paraId="78097118" w14:textId="77777777" w:rsidTr="008633D4">
        <w:tc>
          <w:tcPr>
            <w:tcW w:w="2263" w:type="dxa"/>
          </w:tcPr>
          <w:p w14:paraId="1AB7AAE9" w14:textId="48D051BB" w:rsidR="0066513C" w:rsidRDefault="0066513C" w:rsidP="00681CF1">
            <w:pPr>
              <w:spacing w:after="120" w:line="288" w:lineRule="auto"/>
              <w:rPr>
                <w:lang w:val="ru-RU"/>
              </w:rPr>
            </w:pPr>
            <w:r w:rsidRPr="00CD50E1">
              <w:rPr>
                <w:lang w:val="cs-CZ"/>
              </w:rPr>
              <w:t>Komu:</w:t>
            </w:r>
          </w:p>
        </w:tc>
        <w:tc>
          <w:tcPr>
            <w:tcW w:w="7087" w:type="dxa"/>
          </w:tcPr>
          <w:p w14:paraId="132470D6" w14:textId="29768681" w:rsidR="0066513C" w:rsidRPr="0066513C" w:rsidRDefault="0066513C" w:rsidP="00681CF1">
            <w:pPr>
              <w:spacing w:after="120" w:line="288" w:lineRule="auto"/>
              <w:rPr>
                <w:lang w:val="cs-CZ"/>
              </w:rPr>
            </w:pPr>
            <w:r w:rsidRPr="00CD50E1">
              <w:rPr>
                <w:lang w:val="cs-CZ"/>
              </w:rPr>
              <w:t>JUDr. Stanislav Křeček, ombudsman</w:t>
            </w:r>
            <w:r>
              <w:rPr>
                <w:lang w:val="ru-RU"/>
              </w:rPr>
              <w:br/>
            </w:r>
            <w:r w:rsidRPr="00CD50E1">
              <w:rPr>
                <w:lang w:val="cs-CZ"/>
              </w:rPr>
              <w:t>JUDr. Vít Alexander Schorm, zástupce veřejného ochránce práv</w:t>
            </w:r>
          </w:p>
        </w:tc>
      </w:tr>
      <w:tr w:rsidR="0066513C" w14:paraId="19B5EA6A" w14:textId="77777777" w:rsidTr="008633D4">
        <w:tc>
          <w:tcPr>
            <w:tcW w:w="2263" w:type="dxa"/>
          </w:tcPr>
          <w:p w14:paraId="1D449E22" w14:textId="0626B6D9" w:rsidR="0066513C" w:rsidRDefault="0066513C" w:rsidP="00681CF1">
            <w:pPr>
              <w:spacing w:after="120" w:line="288" w:lineRule="auto"/>
              <w:rPr>
                <w:lang w:val="ru-RU"/>
              </w:rPr>
            </w:pPr>
            <w:r w:rsidRPr="00F54E04">
              <w:rPr>
                <w:lang w:val="cs-CZ"/>
              </w:rPr>
              <w:t>Předmět:</w:t>
            </w:r>
          </w:p>
        </w:tc>
        <w:tc>
          <w:tcPr>
            <w:tcW w:w="7087" w:type="dxa"/>
          </w:tcPr>
          <w:p w14:paraId="6C732DEE" w14:textId="44C7C425" w:rsidR="0066513C" w:rsidRPr="00E51259" w:rsidRDefault="0066513C" w:rsidP="00681CF1">
            <w:pPr>
              <w:spacing w:after="120" w:line="288" w:lineRule="auto"/>
              <w:rPr>
                <w:lang w:val="ru-RU"/>
              </w:rPr>
            </w:pPr>
            <w:r w:rsidRPr="00E51259">
              <w:rPr>
                <w:lang w:val="cs-CZ"/>
              </w:rPr>
              <w:t>Žádost o pomoc s vyloučením navrhované novely z „Lex Ukrajina“ z důvodu porušování lidských práv a rozporu s Ústavou ČR</w:t>
            </w:r>
          </w:p>
        </w:tc>
      </w:tr>
    </w:tbl>
    <w:p w14:paraId="6851A610" w14:textId="77777777" w:rsidR="00CD50E1" w:rsidRPr="0093303D" w:rsidRDefault="00CD50E1" w:rsidP="00681CF1">
      <w:pPr>
        <w:spacing w:before="240" w:after="240" w:line="288" w:lineRule="auto"/>
        <w:rPr>
          <w:lang w:val="cs-CZ"/>
        </w:rPr>
      </w:pPr>
      <w:r w:rsidRPr="0093303D">
        <w:rPr>
          <w:lang w:val="cs-CZ"/>
        </w:rPr>
        <w:t>Vážení pánové,</w:t>
      </w:r>
    </w:p>
    <w:p w14:paraId="00000003" w14:textId="06495497" w:rsidR="00372133" w:rsidRPr="002553B3" w:rsidRDefault="00CD50E1" w:rsidP="00681CF1">
      <w:pPr>
        <w:spacing w:before="240" w:after="240" w:line="288" w:lineRule="auto"/>
        <w:rPr>
          <w:lang w:val="cs-CZ"/>
        </w:rPr>
      </w:pPr>
      <w:r w:rsidRPr="00CD50E1">
        <w:rPr>
          <w:lang w:val="cs-CZ"/>
        </w:rPr>
        <w:t>Tímto dopisem navazují na předchozí komunikaci s Vámi a Vaši odpověď, č</w:t>
      </w:r>
      <w:r w:rsidR="007D7BC9">
        <w:rPr>
          <w:lang w:val="cs-CZ"/>
        </w:rPr>
        <w:t>.</w:t>
      </w:r>
      <w:r w:rsidR="00CF3B91">
        <w:rPr>
          <w:lang w:val="cs-CZ"/>
        </w:rPr>
        <w:t>j.</w:t>
      </w:r>
      <w:r w:rsidRPr="00CD50E1">
        <w:rPr>
          <w:lang w:val="cs-CZ"/>
        </w:rPr>
        <w:t xml:space="preserve"> KVOP-38848/2024 od 1. října 2024</w:t>
      </w:r>
      <w:r w:rsidR="002553B3">
        <w:rPr>
          <w:lang w:val="cs-CZ"/>
        </w:rPr>
        <w:t>.</w:t>
      </w:r>
    </w:p>
    <w:p w14:paraId="00000005" w14:textId="299D6C8B" w:rsidR="00372133" w:rsidRPr="00451848" w:rsidRDefault="000E5639" w:rsidP="00681CF1">
      <w:pPr>
        <w:spacing w:before="240" w:after="240" w:line="288" w:lineRule="auto"/>
        <w:rPr>
          <w:lang w:val="cs-CZ"/>
        </w:rPr>
      </w:pPr>
      <w:r w:rsidRPr="00F54E04">
        <w:rPr>
          <w:lang w:val="cs-CZ"/>
        </w:rPr>
        <w:t xml:space="preserve">Na naši žádost provedl tým právních poradců důkladnou analýzu </w:t>
      </w:r>
      <w:r w:rsidR="00CC5384">
        <w:rPr>
          <w:lang w:val="cs-CZ"/>
        </w:rPr>
        <w:t xml:space="preserve">sněmovního tisku, novely </w:t>
      </w:r>
      <w:r w:rsidRPr="00CC5384">
        <w:rPr>
          <w:lang w:val="cs-CZ"/>
        </w:rPr>
        <w:t xml:space="preserve">zákona č. 65/2022, známého jako „Lex Ukrajina.“ Konkrétně se zaměřili na nově navrhované </w:t>
      </w:r>
      <w:r w:rsidR="00CC5384">
        <w:rPr>
          <w:lang w:val="cs-CZ"/>
        </w:rPr>
        <w:t>§</w:t>
      </w:r>
      <w:r w:rsidR="00CC5384" w:rsidRPr="00CC5384">
        <w:rPr>
          <w:lang w:val="cs-CZ"/>
        </w:rPr>
        <w:t xml:space="preserve"> </w:t>
      </w:r>
      <w:r w:rsidRPr="00CC5384">
        <w:rPr>
          <w:lang w:val="cs-CZ"/>
        </w:rPr>
        <w:t>7x a 7y, které zavádějí omezení pro občany Ruské federace žádající o české státní občanství tím, že vyžadují vzdání se ruského občanství, a to s velmi omezenými výjimkami. Dovolujeme si požádat Vaši kancelář o přezkoumání této záležitosti, neboť tato novela obsahuje několik bodů, které dle našeho názoru porušují základní lidská práva a jsou v rozporu s principy českého ústavního pořádku.</w:t>
      </w:r>
      <w:r w:rsidR="00451848">
        <w:rPr>
          <w:lang w:val="cs-CZ"/>
        </w:rPr>
        <w:t xml:space="preserve"> </w:t>
      </w:r>
      <w:r w:rsidR="00143745" w:rsidRPr="00CC5384">
        <w:rPr>
          <w:lang w:val="cs-CZ"/>
        </w:rPr>
        <w:t xml:space="preserve">Plný text </w:t>
      </w:r>
      <w:r w:rsidR="00143745">
        <w:rPr>
          <w:lang w:val="cs-CZ"/>
        </w:rPr>
        <w:t>zmíněné</w:t>
      </w:r>
      <w:r w:rsidR="00143745" w:rsidRPr="00AA09AF">
        <w:rPr>
          <w:lang w:val="cs-CZ"/>
        </w:rPr>
        <w:t xml:space="preserve"> </w:t>
      </w:r>
      <w:r w:rsidR="00143745" w:rsidRPr="00CC5384">
        <w:rPr>
          <w:lang w:val="cs-CZ"/>
        </w:rPr>
        <w:t>analýzy se nachází v příloze.</w:t>
      </w:r>
      <w:r w:rsidR="00143745" w:rsidRPr="00143745">
        <w:rPr>
          <w:lang w:val="cs-CZ"/>
        </w:rPr>
        <w:t xml:space="preserve"> </w:t>
      </w:r>
      <w:r w:rsidR="00AA09AF">
        <w:rPr>
          <w:lang w:val="cs-CZ"/>
        </w:rPr>
        <w:t>N</w:t>
      </w:r>
      <w:r w:rsidR="00AA09AF" w:rsidRPr="00AA09AF">
        <w:rPr>
          <w:lang w:val="cs-CZ"/>
        </w:rPr>
        <w:t xml:space="preserve">íže jsou </w:t>
      </w:r>
      <w:r w:rsidR="00171454">
        <w:rPr>
          <w:lang w:val="cs-CZ"/>
        </w:rPr>
        <w:t xml:space="preserve">její </w:t>
      </w:r>
      <w:r w:rsidR="00AA09AF" w:rsidRPr="00AA09AF">
        <w:rPr>
          <w:lang w:val="cs-CZ"/>
        </w:rPr>
        <w:t>stručné výsledky</w:t>
      </w:r>
      <w:r w:rsidR="00F12F8B">
        <w:rPr>
          <w:lang w:val="cs-CZ"/>
        </w:rPr>
        <w:t>.</w:t>
      </w:r>
      <w:r w:rsidR="00773B86">
        <w:rPr>
          <w:lang w:val="cs-CZ"/>
        </w:rPr>
        <w:br/>
      </w:r>
    </w:p>
    <w:p w14:paraId="4011C474" w14:textId="62B55A16" w:rsidR="00CC5384" w:rsidRPr="00CC5384" w:rsidRDefault="00CC5384" w:rsidP="00681CF1">
      <w:pPr>
        <w:spacing w:before="240" w:after="240" w:line="288" w:lineRule="auto"/>
        <w:rPr>
          <w:b/>
          <w:bCs/>
          <w:lang w:val="cs-CZ"/>
        </w:rPr>
      </w:pPr>
      <w:r w:rsidRPr="00CC5384">
        <w:rPr>
          <w:b/>
          <w:bCs/>
          <w:lang w:val="cs-CZ"/>
        </w:rPr>
        <w:t>Pozměňovací návrh je legislativní zmetek</w:t>
      </w:r>
      <w:r w:rsidR="0093303D">
        <w:rPr>
          <w:b/>
          <w:bCs/>
          <w:lang w:val="cs-CZ"/>
        </w:rPr>
        <w:t>.</w:t>
      </w:r>
    </w:p>
    <w:p w14:paraId="3A65BE78" w14:textId="26DCFA1D" w:rsidR="00CC5384" w:rsidRPr="00CC5384" w:rsidRDefault="00CC5384" w:rsidP="00681CF1">
      <w:pPr>
        <w:spacing w:before="240" w:after="240" w:line="288" w:lineRule="auto"/>
        <w:rPr>
          <w:lang w:val="cs-CZ"/>
        </w:rPr>
      </w:pPr>
      <w:r>
        <w:rPr>
          <w:lang w:val="cs-CZ"/>
        </w:rPr>
        <w:t xml:space="preserve">Pozměňovací návrh obsahuje vzájemně se vylučující ustanovení. Zatímco ustanovení § 7x stanoví pravidlo, že ruský státní občan může získat občanství jen, prokáže-li, že se vzdal ruského, ustanovení § 7y stanoví, že jeho žádost o udělení občanství nebude projednána do pozbytí účinnosti § 2 Legis Ukrajina. Dle veřejných vystoupení předkladatelů pozměňovacího návrhu </w:t>
      </w:r>
      <w:r w:rsidR="00F54E04">
        <w:rPr>
          <w:lang w:val="cs-CZ"/>
        </w:rPr>
        <w:t xml:space="preserve">mělo být cílem pozastavit udělování občanství do konce trvání dočasné ochrany (tj. do konce války), nicméně vzhledem k nesprávnému paragrafovému znění má být přerušení řízení o udělení občanství mít nekonečnou platnost. </w:t>
      </w:r>
      <w:r w:rsidR="00681CF1">
        <w:rPr>
          <w:lang w:val="cs-CZ"/>
        </w:rPr>
        <w:br/>
      </w:r>
    </w:p>
    <w:p w14:paraId="00000007" w14:textId="624DF593" w:rsidR="00372133" w:rsidRPr="00CC5384" w:rsidRDefault="000E5639" w:rsidP="00681CF1">
      <w:pPr>
        <w:spacing w:before="240" w:after="240" w:line="288" w:lineRule="auto"/>
        <w:rPr>
          <w:b/>
          <w:lang w:val="cs-CZ"/>
        </w:rPr>
      </w:pPr>
      <w:r w:rsidRPr="00CC5384">
        <w:rPr>
          <w:b/>
          <w:lang w:val="cs-CZ"/>
        </w:rPr>
        <w:t>Porušení lidských práv a diskriminace</w:t>
      </w:r>
      <w:r w:rsidR="0093303D">
        <w:rPr>
          <w:b/>
          <w:lang w:val="cs-CZ"/>
        </w:rPr>
        <w:t>.</w:t>
      </w:r>
    </w:p>
    <w:p w14:paraId="00000008" w14:textId="0D9B8981" w:rsidR="00372133" w:rsidRPr="00CC5384" w:rsidRDefault="00F54E04" w:rsidP="00681CF1">
      <w:pPr>
        <w:spacing w:before="240" w:after="240" w:line="288" w:lineRule="auto"/>
        <w:rPr>
          <w:lang w:val="cs-CZ"/>
        </w:rPr>
      </w:pPr>
      <w:r>
        <w:rPr>
          <w:lang w:val="cs-CZ"/>
        </w:rPr>
        <w:t xml:space="preserve">I kdybychom zcela abstrahovali od otázky přerušení řízení o udělení občanství a soustředili se na to požadavek vzdání se občanství ruského, </w:t>
      </w:r>
      <w:r w:rsidR="00FD446E">
        <w:rPr>
          <w:lang w:val="cs-CZ"/>
        </w:rPr>
        <w:t>n</w:t>
      </w:r>
      <w:r w:rsidRPr="00CC5384">
        <w:rPr>
          <w:lang w:val="cs-CZ"/>
        </w:rPr>
        <w:t>ovela nepřiměřeně zasahuje do práv občanů Ruské federace a porušuje právo na rovnost, garantované v článku 3 odst. 1 Listiny základních práv a svobod</w:t>
      </w:r>
      <w:r>
        <w:rPr>
          <w:lang w:val="cs-CZ"/>
        </w:rPr>
        <w:t xml:space="preserve"> a čl. 14 Evropské úmluvy o lidských právech a základních svobodách</w:t>
      </w:r>
      <w:r w:rsidRPr="00CC5384">
        <w:rPr>
          <w:lang w:val="cs-CZ"/>
        </w:rPr>
        <w:t xml:space="preserve">. Selektivním uplatňováním požadavků na vzdání se občanství pouze na ruské občany </w:t>
      </w:r>
      <w:r>
        <w:rPr>
          <w:lang w:val="cs-CZ"/>
        </w:rPr>
        <w:t xml:space="preserve">bez ohledu na jejich životní příběh, politické názory a míru integrace do české společnosti </w:t>
      </w:r>
      <w:r w:rsidRPr="00CC5384">
        <w:rPr>
          <w:lang w:val="cs-CZ"/>
        </w:rPr>
        <w:t xml:space="preserve">dochází k diskriminaci na základě státní příslušnosti, což ruské občany znevýhodňuje oproti žadatelům z jiných zemí, včetně těch, které mohou představovat </w:t>
      </w:r>
      <w:r>
        <w:rPr>
          <w:lang w:val="cs-CZ"/>
        </w:rPr>
        <w:t xml:space="preserve">stejné nebo i větší </w:t>
      </w:r>
      <w:r w:rsidRPr="00CC5384">
        <w:rPr>
          <w:lang w:val="cs-CZ"/>
        </w:rPr>
        <w:t>bezpečnostní riziko.</w:t>
      </w:r>
    </w:p>
    <w:p w14:paraId="0000000A" w14:textId="15128557" w:rsidR="00372133" w:rsidRPr="00CC5384" w:rsidRDefault="000E5639" w:rsidP="00681CF1">
      <w:pPr>
        <w:spacing w:before="240" w:after="240" w:line="288" w:lineRule="auto"/>
        <w:rPr>
          <w:lang w:val="cs-CZ"/>
        </w:rPr>
      </w:pPr>
      <w:r w:rsidRPr="00CC5384">
        <w:rPr>
          <w:lang w:val="cs-CZ"/>
        </w:rPr>
        <w:lastRenderedPageBreak/>
        <w:t>Kromě toho tento požadavek zasahuje do práva na soukromý a rodinný život (čl. 10</w:t>
      </w:r>
      <w:r w:rsidR="00F54E04">
        <w:rPr>
          <w:lang w:val="cs-CZ"/>
        </w:rPr>
        <w:t xml:space="preserve"> Listiny</w:t>
      </w:r>
      <w:r w:rsidRPr="00CC5384">
        <w:rPr>
          <w:lang w:val="cs-CZ"/>
        </w:rPr>
        <w:t>) a práva na majetek (čl. 11</w:t>
      </w:r>
      <w:r w:rsidR="00F54E04">
        <w:rPr>
          <w:lang w:val="cs-CZ"/>
        </w:rPr>
        <w:t xml:space="preserve"> Listiny</w:t>
      </w:r>
      <w:r w:rsidRPr="00CC5384">
        <w:rPr>
          <w:lang w:val="cs-CZ"/>
        </w:rPr>
        <w:t>). Pro mnoho žadatelů znamená vzdání se ruského občanství i ztrátu možnosti setkávání s rodinnými příslušníky, protože přicházejí o právo cestovat za příbuznými do Ruska</w:t>
      </w:r>
      <w:r w:rsidR="00CC5384">
        <w:rPr>
          <w:lang w:val="cs-CZ"/>
        </w:rPr>
        <w:t>, přičemž jejich příbuzní</w:t>
      </w:r>
      <w:r w:rsidR="00FD446E">
        <w:rPr>
          <w:lang w:val="cs-CZ"/>
        </w:rPr>
        <w:t xml:space="preserve">, </w:t>
      </w:r>
      <w:r w:rsidR="00CC5384">
        <w:rPr>
          <w:lang w:val="cs-CZ"/>
        </w:rPr>
        <w:t>občané Ruska</w:t>
      </w:r>
      <w:r w:rsidR="00FD446E">
        <w:rPr>
          <w:lang w:val="cs-CZ"/>
        </w:rPr>
        <w:t>,</w:t>
      </w:r>
      <w:r w:rsidR="00CC5384">
        <w:rPr>
          <w:lang w:val="cs-CZ"/>
        </w:rPr>
        <w:t xml:space="preserve"> nemohou cestovat ani do ČR</w:t>
      </w:r>
      <w:r w:rsidRPr="00CC5384">
        <w:rPr>
          <w:lang w:val="cs-CZ"/>
        </w:rPr>
        <w:t>.</w:t>
      </w:r>
      <w:r w:rsidR="00CC5384">
        <w:rPr>
          <w:lang w:val="cs-CZ"/>
        </w:rPr>
        <w:t xml:space="preserve"> </w:t>
      </w:r>
      <w:r w:rsidRPr="00CC5384">
        <w:rPr>
          <w:lang w:val="cs-CZ"/>
        </w:rPr>
        <w:t xml:space="preserve">Zároveň se komplikuje </w:t>
      </w:r>
      <w:r w:rsidR="00CC5384">
        <w:rPr>
          <w:lang w:val="cs-CZ"/>
        </w:rPr>
        <w:t xml:space="preserve">(resp. znemožňuje) nakládání s </w:t>
      </w:r>
      <w:r w:rsidRPr="00CC5384">
        <w:rPr>
          <w:lang w:val="cs-CZ"/>
        </w:rPr>
        <w:t xml:space="preserve">jejich </w:t>
      </w:r>
      <w:r w:rsidR="007F48E4" w:rsidRPr="00CC5384">
        <w:rPr>
          <w:lang w:val="cs-CZ"/>
        </w:rPr>
        <w:t>majet</w:t>
      </w:r>
      <w:r w:rsidR="007F48E4">
        <w:rPr>
          <w:lang w:val="cs-CZ"/>
        </w:rPr>
        <w:t>kem</w:t>
      </w:r>
      <w:r w:rsidRPr="00CC5384">
        <w:rPr>
          <w:lang w:val="cs-CZ"/>
        </w:rPr>
        <w:t xml:space="preserve"> kvůli ruským omezením na transakce s nemovitostmi zahraničních vlastníků ze zemí zařazených na seznam „nepřátelských států,“ včetně České republiky. Navíc proces vzdání se občanství může žadatele vystavit bezpečnostnímu riziku, neboť někteří mohou být nuceni se vrátit do Ruska, kde hrozí povinná vojenská služba či stíhání pro proti-válečné aktivity.</w:t>
      </w:r>
    </w:p>
    <w:p w14:paraId="0000000C" w14:textId="57FB4F66" w:rsidR="00372133" w:rsidRPr="00CC5384" w:rsidRDefault="00E51259" w:rsidP="00681CF1">
      <w:pPr>
        <w:spacing w:before="240" w:after="240" w:line="288" w:lineRule="auto"/>
        <w:rPr>
          <w:b/>
          <w:lang w:val="cs-CZ"/>
        </w:rPr>
      </w:pPr>
      <w:r>
        <w:rPr>
          <w:b/>
          <w:lang w:val="cs-CZ"/>
        </w:rPr>
        <w:br/>
      </w:r>
      <w:r w:rsidR="000E5639" w:rsidRPr="00CC5384">
        <w:rPr>
          <w:b/>
          <w:lang w:val="cs-CZ"/>
        </w:rPr>
        <w:t>Procesní a ústavní problémy</w:t>
      </w:r>
    </w:p>
    <w:p w14:paraId="0000000D" w14:textId="32A500F1" w:rsidR="00372133" w:rsidRPr="00CC5384" w:rsidRDefault="000E5639" w:rsidP="00681CF1">
      <w:pPr>
        <w:spacing w:before="240" w:after="240" w:line="288" w:lineRule="auto"/>
        <w:rPr>
          <w:lang w:val="cs-CZ"/>
        </w:rPr>
      </w:pPr>
      <w:r w:rsidRPr="00CC5384">
        <w:rPr>
          <w:lang w:val="cs-CZ"/>
        </w:rPr>
        <w:t>Zařazení těchto novelizací do „Lex Ukrajina“ je samo o sobě problematické. Tento zákon byl navržen k řešení potřeb ukrajinských uprchlíků prchajících před válečným konfliktem, nikoliv k omezení práv ruských občanů žijících v České republice. Přidáním nesouvisející novely se zákonodárci fakticky vyhnuli nutnému prvotnímu čtení a posouzení vládou, což je v rozporu se zásadami legislativního procesu. Česká ústava a legislativní předpisy požadují, aby novely měly přímou souvislost s původním návrhem zákona, což tato novela dle našeho názoru nesplňuje.</w:t>
      </w:r>
      <w:r w:rsidR="00CC5384">
        <w:rPr>
          <w:lang w:val="cs-CZ"/>
        </w:rPr>
        <w:t xml:space="preserve"> Předkladatel pozměňovacího návrhu, pan Martin Exner, v tisku dokonce i výslovně potvrdil, že tento procesní postup byl vybrán proto, že pro řádné projednání materie není (nejspíše do parlamentních voleb) čas, proto byl tento sněmovní tisk vybrán jako „nosič“. </w:t>
      </w:r>
    </w:p>
    <w:p w14:paraId="0000000F" w14:textId="7E707657" w:rsidR="00372133" w:rsidRPr="00E51259" w:rsidRDefault="000E5639" w:rsidP="00681CF1">
      <w:pPr>
        <w:spacing w:before="240" w:after="240" w:line="288" w:lineRule="auto"/>
        <w:rPr>
          <w:lang w:val="cs-CZ"/>
        </w:rPr>
      </w:pPr>
      <w:r w:rsidRPr="00CC5384">
        <w:rPr>
          <w:lang w:val="cs-CZ"/>
        </w:rPr>
        <w:t xml:space="preserve"> </w:t>
      </w:r>
      <w:r w:rsidR="00E51259">
        <w:rPr>
          <w:lang w:val="cs-CZ"/>
        </w:rPr>
        <w:br/>
      </w:r>
      <w:r w:rsidRPr="00CC5384">
        <w:rPr>
          <w:b/>
          <w:lang w:val="cs-CZ"/>
        </w:rPr>
        <w:t>Náš návrh</w:t>
      </w:r>
    </w:p>
    <w:p w14:paraId="00000010" w14:textId="3E795E3E" w:rsidR="00372133" w:rsidRPr="00CC5384" w:rsidRDefault="000E5639" w:rsidP="00681CF1">
      <w:pPr>
        <w:spacing w:before="240" w:after="240" w:line="288" w:lineRule="auto"/>
        <w:rPr>
          <w:lang w:val="cs-CZ"/>
        </w:rPr>
      </w:pPr>
      <w:r w:rsidRPr="00CC5384">
        <w:rPr>
          <w:lang w:val="cs-CZ"/>
        </w:rPr>
        <w:t xml:space="preserve">S ohledem na výše uvedené </w:t>
      </w:r>
      <w:r w:rsidR="00F54E04">
        <w:rPr>
          <w:lang w:val="cs-CZ"/>
        </w:rPr>
        <w:t>se snažíme působit na členy Parlamentu ČR a vysvětlujeme jim nedostatky pozměňovacího návrhu a usilujeme o to</w:t>
      </w:r>
      <w:r w:rsidRPr="00CC5384">
        <w:rPr>
          <w:lang w:val="cs-CZ"/>
        </w:rPr>
        <w:t xml:space="preserve">, aby </w:t>
      </w:r>
      <w:r w:rsidR="00F54E04">
        <w:rPr>
          <w:lang w:val="cs-CZ"/>
        </w:rPr>
        <w:t xml:space="preserve">pozměňovací návrh byl </w:t>
      </w:r>
      <w:r w:rsidRPr="00CC5384">
        <w:rPr>
          <w:lang w:val="cs-CZ"/>
        </w:rPr>
        <w:t>vyloučen z</w:t>
      </w:r>
      <w:r w:rsidR="00F54E04">
        <w:rPr>
          <w:lang w:val="cs-CZ"/>
        </w:rPr>
        <w:t xml:space="preserve"> novely</w:t>
      </w:r>
      <w:r w:rsidRPr="00CC5384">
        <w:rPr>
          <w:lang w:val="cs-CZ"/>
        </w:rPr>
        <w:t xml:space="preserve"> „</w:t>
      </w:r>
      <w:r w:rsidR="00F54E04" w:rsidRPr="00CC5384">
        <w:rPr>
          <w:lang w:val="cs-CZ"/>
        </w:rPr>
        <w:t>Le</w:t>
      </w:r>
      <w:r w:rsidR="008209DD">
        <w:rPr>
          <w:lang w:val="cs-CZ"/>
        </w:rPr>
        <w:t>x</w:t>
      </w:r>
      <w:r w:rsidR="00F54E04" w:rsidRPr="00CC5384">
        <w:rPr>
          <w:lang w:val="cs-CZ"/>
        </w:rPr>
        <w:t xml:space="preserve"> </w:t>
      </w:r>
      <w:r w:rsidRPr="00CC5384">
        <w:rPr>
          <w:lang w:val="cs-CZ"/>
        </w:rPr>
        <w:t xml:space="preserve">Ukrajina“ </w:t>
      </w:r>
      <w:r w:rsidR="00F54E04">
        <w:rPr>
          <w:lang w:val="cs-CZ"/>
        </w:rPr>
        <w:t xml:space="preserve">(resp. nebyl v Poslanecké sněmovně přijat). Pokud jeho autoři budou na takovémto opatření trvat, mohou jej zkusit předložit </w:t>
      </w:r>
      <w:r w:rsidRPr="00CC5384">
        <w:rPr>
          <w:lang w:val="cs-CZ"/>
        </w:rPr>
        <w:t>jako samostatný legislativní návrh</w:t>
      </w:r>
      <w:r w:rsidR="00F54E04">
        <w:rPr>
          <w:lang w:val="cs-CZ"/>
        </w:rPr>
        <w:t xml:space="preserve">, což by </w:t>
      </w:r>
      <w:r w:rsidRPr="00CC5384">
        <w:rPr>
          <w:lang w:val="cs-CZ"/>
        </w:rPr>
        <w:t>umožnil</w:t>
      </w:r>
      <w:r w:rsidR="00F54E04">
        <w:rPr>
          <w:lang w:val="cs-CZ"/>
        </w:rPr>
        <w:t>o</w:t>
      </w:r>
      <w:r w:rsidRPr="00CC5384">
        <w:rPr>
          <w:lang w:val="cs-CZ"/>
        </w:rPr>
        <w:t xml:space="preserve"> důkladné přezkoumání v souladu </w:t>
      </w:r>
      <w:r w:rsidR="00F54E04">
        <w:rPr>
          <w:lang w:val="cs-CZ"/>
        </w:rPr>
        <w:t>se standardními legislativními postupy (včetně např. posouzení Legislativní radou vlády)</w:t>
      </w:r>
      <w:r w:rsidRPr="00CC5384">
        <w:rPr>
          <w:lang w:val="cs-CZ"/>
        </w:rPr>
        <w:t xml:space="preserve"> a spravedlivé posouzení jejích dopadů na základní práva a </w:t>
      </w:r>
      <w:r w:rsidR="00F54E04">
        <w:rPr>
          <w:lang w:val="cs-CZ"/>
        </w:rPr>
        <w:t>svobody obyvatel ČR ruské národnosti</w:t>
      </w:r>
      <w:r w:rsidRPr="00CC5384">
        <w:rPr>
          <w:lang w:val="cs-CZ"/>
        </w:rPr>
        <w:t>.</w:t>
      </w:r>
    </w:p>
    <w:p w14:paraId="00000011" w14:textId="3A6C2C13" w:rsidR="00372133" w:rsidRPr="00CC5384" w:rsidRDefault="00F54E04" w:rsidP="00681CF1">
      <w:pPr>
        <w:spacing w:before="240" w:after="240" w:line="288" w:lineRule="auto"/>
        <w:rPr>
          <w:lang w:val="cs-CZ"/>
        </w:rPr>
      </w:pPr>
      <w:r>
        <w:rPr>
          <w:lang w:val="cs-CZ"/>
        </w:rPr>
        <w:t xml:space="preserve">Uvědomujeme si, že veřejný ochránce práv se neúčastní zákonodárného procesu. </w:t>
      </w:r>
      <w:r w:rsidRPr="00CC5384">
        <w:rPr>
          <w:lang w:val="cs-CZ"/>
        </w:rPr>
        <w:t xml:space="preserve">Laskavě Vás </w:t>
      </w:r>
      <w:r>
        <w:rPr>
          <w:lang w:val="cs-CZ"/>
        </w:rPr>
        <w:t xml:space="preserve">však </w:t>
      </w:r>
      <w:r w:rsidRPr="00CC5384">
        <w:rPr>
          <w:lang w:val="cs-CZ"/>
        </w:rPr>
        <w:t xml:space="preserve">žádáme o </w:t>
      </w:r>
      <w:r>
        <w:rPr>
          <w:lang w:val="cs-CZ"/>
        </w:rPr>
        <w:t xml:space="preserve">jakoukoli možnou formální i neformální, veřejnou i neveřejnou </w:t>
      </w:r>
      <w:r w:rsidRPr="00CC5384">
        <w:rPr>
          <w:lang w:val="cs-CZ"/>
        </w:rPr>
        <w:t>podporu naší iniciativy, abychom zajistili, že veškeré legislativní změny budou provedeny transparentním a nediskriminačním způsobem, který ctí ústavní závazky České republiky v oblasti ochrany lidských práv.</w:t>
      </w:r>
    </w:p>
    <w:p w14:paraId="00000013" w14:textId="77777777" w:rsidR="00372133" w:rsidRPr="00CC5384" w:rsidRDefault="000E5639" w:rsidP="00681CF1">
      <w:pPr>
        <w:spacing w:before="240" w:after="240" w:line="288" w:lineRule="auto"/>
        <w:rPr>
          <w:lang w:val="cs-CZ"/>
        </w:rPr>
      </w:pPr>
      <w:r w:rsidRPr="00CC5384">
        <w:rPr>
          <w:lang w:val="cs-CZ"/>
        </w:rPr>
        <w:t>Děkujeme Vám za zvážení naší výzvy a doufáme, že naši iniciativu na vyloučení této novely z „Lex Ukrajina“ podpoříte.</w:t>
      </w:r>
    </w:p>
    <w:p w14:paraId="00000015" w14:textId="1614D9D8" w:rsidR="00372133" w:rsidRPr="00CC5384" w:rsidRDefault="002D7620" w:rsidP="00681CF1">
      <w:pPr>
        <w:spacing w:before="240" w:after="240" w:line="288" w:lineRule="auto"/>
        <w:rPr>
          <w:lang w:val="cs-CZ"/>
        </w:rPr>
      </w:pPr>
      <w:r>
        <w:rPr>
          <w:lang w:val="cs-CZ"/>
        </w:rPr>
        <w:lastRenderedPageBreak/>
        <w:br/>
      </w:r>
    </w:p>
    <w:p w14:paraId="09959D63" w14:textId="2D0D2ED0" w:rsidR="002D7620" w:rsidRDefault="000E5639" w:rsidP="00681CF1">
      <w:pPr>
        <w:spacing w:before="240" w:after="240" w:line="288" w:lineRule="auto"/>
        <w:rPr>
          <w:lang w:val="cs-CZ"/>
        </w:rPr>
      </w:pPr>
      <w:r w:rsidRPr="00CC5384">
        <w:rPr>
          <w:lang w:val="cs-CZ"/>
        </w:rPr>
        <w:t>S úctou,</w:t>
      </w:r>
    </w:p>
    <w:p w14:paraId="0000001C" w14:textId="6E9EA7A7" w:rsidR="00372133" w:rsidRPr="00CC5384" w:rsidRDefault="000E5639" w:rsidP="00681CF1">
      <w:pPr>
        <w:spacing w:before="240" w:after="240" w:line="288" w:lineRule="auto"/>
        <w:rPr>
          <w:lang w:val="cs-CZ"/>
        </w:rPr>
      </w:pPr>
      <w:r w:rsidRPr="00CC5384">
        <w:rPr>
          <w:lang w:val="cs-CZ"/>
        </w:rPr>
        <w:t>[Vaše jméno]</w:t>
      </w:r>
      <w:r w:rsidR="00476879">
        <w:rPr>
          <w:lang w:val="cs-CZ"/>
        </w:rPr>
        <w:t xml:space="preserve">, </w:t>
      </w:r>
      <w:r w:rsidRPr="00CC5384">
        <w:rPr>
          <w:lang w:val="cs-CZ"/>
        </w:rPr>
        <w:t xml:space="preserve">[Vaše pozice] </w:t>
      </w:r>
    </w:p>
    <w:sectPr w:rsidR="00372133" w:rsidRPr="00CC5384">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3"/>
    <w:rsid w:val="000B1D77"/>
    <w:rsid w:val="000E5639"/>
    <w:rsid w:val="00143745"/>
    <w:rsid w:val="00171454"/>
    <w:rsid w:val="001741C7"/>
    <w:rsid w:val="002553B3"/>
    <w:rsid w:val="002D7620"/>
    <w:rsid w:val="00372133"/>
    <w:rsid w:val="003F3FC2"/>
    <w:rsid w:val="00451848"/>
    <w:rsid w:val="00476879"/>
    <w:rsid w:val="00486A90"/>
    <w:rsid w:val="0066513C"/>
    <w:rsid w:val="00681CF1"/>
    <w:rsid w:val="00723F68"/>
    <w:rsid w:val="00773B86"/>
    <w:rsid w:val="007D7BC9"/>
    <w:rsid w:val="007F48E4"/>
    <w:rsid w:val="008209DD"/>
    <w:rsid w:val="008633D4"/>
    <w:rsid w:val="0093303D"/>
    <w:rsid w:val="009A25C1"/>
    <w:rsid w:val="00A6439A"/>
    <w:rsid w:val="00AA09AF"/>
    <w:rsid w:val="00B17287"/>
    <w:rsid w:val="00B57191"/>
    <w:rsid w:val="00BB0248"/>
    <w:rsid w:val="00C37B0E"/>
    <w:rsid w:val="00CC5384"/>
    <w:rsid w:val="00CD50E1"/>
    <w:rsid w:val="00CF3B91"/>
    <w:rsid w:val="00D14EFA"/>
    <w:rsid w:val="00E51259"/>
    <w:rsid w:val="00F12F8B"/>
    <w:rsid w:val="00F54E04"/>
    <w:rsid w:val="00F62FF5"/>
    <w:rsid w:val="00FD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47F4"/>
  <w15:docId w15:val="{9E50F6BD-0FA3-4FBA-A838-AB52BCC3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Revision"/>
    <w:hidden/>
    <w:uiPriority w:val="99"/>
    <w:semiHidden/>
    <w:rsid w:val="00CC5384"/>
    <w:pPr>
      <w:spacing w:line="240" w:lineRule="auto"/>
    </w:pPr>
  </w:style>
  <w:style w:type="character" w:styleId="a6">
    <w:name w:val="annotation reference"/>
    <w:basedOn w:val="a0"/>
    <w:uiPriority w:val="99"/>
    <w:semiHidden/>
    <w:unhideWhenUsed/>
    <w:rsid w:val="00CC5384"/>
    <w:rPr>
      <w:sz w:val="16"/>
      <w:szCs w:val="16"/>
    </w:rPr>
  </w:style>
  <w:style w:type="paragraph" w:styleId="a7">
    <w:name w:val="annotation text"/>
    <w:basedOn w:val="a"/>
    <w:link w:val="a8"/>
    <w:uiPriority w:val="99"/>
    <w:unhideWhenUsed/>
    <w:rsid w:val="00CC5384"/>
    <w:pPr>
      <w:spacing w:line="240" w:lineRule="auto"/>
    </w:pPr>
    <w:rPr>
      <w:sz w:val="20"/>
      <w:szCs w:val="20"/>
    </w:rPr>
  </w:style>
  <w:style w:type="character" w:customStyle="1" w:styleId="a8">
    <w:name w:val="Текст примечания Знак"/>
    <w:basedOn w:val="a0"/>
    <w:link w:val="a7"/>
    <w:uiPriority w:val="99"/>
    <w:rsid w:val="00CC5384"/>
    <w:rPr>
      <w:sz w:val="20"/>
      <w:szCs w:val="20"/>
    </w:rPr>
  </w:style>
  <w:style w:type="paragraph" w:styleId="a9">
    <w:name w:val="annotation subject"/>
    <w:basedOn w:val="a7"/>
    <w:next w:val="a7"/>
    <w:link w:val="aa"/>
    <w:uiPriority w:val="99"/>
    <w:semiHidden/>
    <w:unhideWhenUsed/>
    <w:rsid w:val="00CC5384"/>
    <w:rPr>
      <w:b/>
      <w:bCs/>
    </w:rPr>
  </w:style>
  <w:style w:type="character" w:customStyle="1" w:styleId="aa">
    <w:name w:val="Тема примечания Знак"/>
    <w:basedOn w:val="a8"/>
    <w:link w:val="a9"/>
    <w:uiPriority w:val="99"/>
    <w:semiHidden/>
    <w:rsid w:val="00CC5384"/>
    <w:rPr>
      <w:b/>
      <w:bCs/>
      <w:sz w:val="20"/>
      <w:szCs w:val="20"/>
    </w:rPr>
  </w:style>
  <w:style w:type="table" w:styleId="ab">
    <w:name w:val="Table Grid"/>
    <w:basedOn w:val="a1"/>
    <w:uiPriority w:val="39"/>
    <w:rsid w:val="006651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773</Words>
  <Characters>4409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Горелов</dc:creator>
  <cp:lastModifiedBy>Юрий Горелов</cp:lastModifiedBy>
  <cp:revision>23</cp:revision>
  <dcterms:created xsi:type="dcterms:W3CDTF">2024-10-25T10:26:00Z</dcterms:created>
  <dcterms:modified xsi:type="dcterms:W3CDTF">2024-10-25T12:22:00Z</dcterms:modified>
</cp:coreProperties>
</file>